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E4511" w14:textId="77777777" w:rsidR="00031130" w:rsidRDefault="00E95233" w:rsidP="009F2646">
      <w:pPr>
        <w:rPr>
          <w:color w:val="000000" w:themeColor="text1"/>
        </w:rPr>
      </w:pPr>
      <w:r>
        <w:rPr>
          <w:color w:val="000000" w:themeColor="text1"/>
        </w:rPr>
        <w:t>Treasurer’s</w:t>
      </w:r>
      <w:r w:rsidR="001A539C">
        <w:rPr>
          <w:color w:val="000000" w:themeColor="text1"/>
        </w:rPr>
        <w:t xml:space="preserve"> report to </w:t>
      </w:r>
      <w:r w:rsidR="009D3C9D">
        <w:rPr>
          <w:color w:val="000000" w:themeColor="text1"/>
        </w:rPr>
        <w:t xml:space="preserve">Presbytery of Geneva </w:t>
      </w:r>
    </w:p>
    <w:p w14:paraId="3BEC25A9" w14:textId="290AB28B" w:rsidR="00F25E25" w:rsidRDefault="00031130" w:rsidP="009F2646">
      <w:pPr>
        <w:rPr>
          <w:color w:val="000000" w:themeColor="text1"/>
        </w:rPr>
      </w:pPr>
      <w:r>
        <w:rPr>
          <w:color w:val="000000" w:themeColor="text1"/>
        </w:rPr>
        <w:t>S</w:t>
      </w:r>
      <w:r w:rsidR="009D3C9D">
        <w:rPr>
          <w:color w:val="000000" w:themeColor="text1"/>
        </w:rPr>
        <w:t>tated meeting</w:t>
      </w:r>
      <w:r w:rsidR="001A539C">
        <w:rPr>
          <w:color w:val="000000" w:themeColor="text1"/>
        </w:rPr>
        <w:t xml:space="preserve"> 05-</w:t>
      </w:r>
      <w:r w:rsidR="009D3C9D">
        <w:rPr>
          <w:color w:val="000000" w:themeColor="text1"/>
        </w:rPr>
        <w:t>21</w:t>
      </w:r>
      <w:r w:rsidR="001A539C">
        <w:rPr>
          <w:color w:val="000000" w:themeColor="text1"/>
        </w:rPr>
        <w:t>-24</w:t>
      </w:r>
      <w:r w:rsidR="009D3C9D">
        <w:rPr>
          <w:color w:val="000000" w:themeColor="text1"/>
        </w:rPr>
        <w:t xml:space="preserve"> at Camp Whitman</w:t>
      </w:r>
    </w:p>
    <w:p w14:paraId="5EF49B36" w14:textId="77777777" w:rsidR="00031130" w:rsidRDefault="00031130" w:rsidP="009F2646">
      <w:pPr>
        <w:rPr>
          <w:color w:val="000000" w:themeColor="text1"/>
        </w:rPr>
      </w:pPr>
    </w:p>
    <w:p w14:paraId="3066F558" w14:textId="77777777" w:rsidR="000B3922" w:rsidRDefault="000B3922" w:rsidP="009F2646">
      <w:pPr>
        <w:rPr>
          <w:color w:val="000000" w:themeColor="text1"/>
        </w:rPr>
      </w:pPr>
    </w:p>
    <w:p w14:paraId="247752F0" w14:textId="6385C6B3" w:rsidR="0063140A" w:rsidRDefault="00E423C6" w:rsidP="009F2646">
      <w:pPr>
        <w:rPr>
          <w:color w:val="000000" w:themeColor="text1"/>
        </w:rPr>
      </w:pPr>
      <w:r>
        <w:rPr>
          <w:color w:val="000000" w:themeColor="text1"/>
        </w:rPr>
        <w:t xml:space="preserve">April </w:t>
      </w:r>
      <w:r w:rsidR="009D3C9D">
        <w:rPr>
          <w:color w:val="000000" w:themeColor="text1"/>
        </w:rPr>
        <w:t xml:space="preserve">2024 </w:t>
      </w:r>
      <w:r>
        <w:rPr>
          <w:color w:val="000000" w:themeColor="text1"/>
        </w:rPr>
        <w:t xml:space="preserve">financials </w:t>
      </w:r>
      <w:r w:rsidR="009D3C9D">
        <w:rPr>
          <w:color w:val="000000" w:themeColor="text1"/>
        </w:rPr>
        <w:t xml:space="preserve">are in the meeting documents.  </w:t>
      </w:r>
    </w:p>
    <w:p w14:paraId="674D6C54" w14:textId="77777777" w:rsidR="000B3922" w:rsidRDefault="000B3922" w:rsidP="009F2646">
      <w:pPr>
        <w:rPr>
          <w:color w:val="000000" w:themeColor="text1"/>
        </w:rPr>
      </w:pPr>
    </w:p>
    <w:p w14:paraId="14105EA1" w14:textId="4FF4F8EA" w:rsidR="000B3922" w:rsidRDefault="000B3922" w:rsidP="009F2646">
      <w:pPr>
        <w:rPr>
          <w:color w:val="000000" w:themeColor="text1"/>
        </w:rPr>
      </w:pPr>
      <w:r>
        <w:rPr>
          <w:color w:val="000000" w:themeColor="text1"/>
        </w:rPr>
        <w:t xml:space="preserve">The application for the </w:t>
      </w:r>
      <w:r w:rsidR="00E95233">
        <w:rPr>
          <w:color w:val="000000" w:themeColor="text1"/>
        </w:rPr>
        <w:t xml:space="preserve">Synod </w:t>
      </w:r>
      <w:r>
        <w:rPr>
          <w:color w:val="000000" w:themeColor="text1"/>
        </w:rPr>
        <w:t xml:space="preserve">2024 </w:t>
      </w:r>
      <w:r w:rsidR="00E95233">
        <w:rPr>
          <w:color w:val="000000" w:themeColor="text1"/>
        </w:rPr>
        <w:t xml:space="preserve">Presbytery </w:t>
      </w:r>
      <w:r>
        <w:rPr>
          <w:color w:val="000000" w:themeColor="text1"/>
        </w:rPr>
        <w:t>Support Grant was submitted</w:t>
      </w:r>
      <w:r w:rsidR="009D3C9D">
        <w:rPr>
          <w:color w:val="000000" w:themeColor="text1"/>
        </w:rPr>
        <w:t>, and we have received word it was approved</w:t>
      </w:r>
      <w:r>
        <w:rPr>
          <w:color w:val="000000" w:themeColor="text1"/>
        </w:rPr>
        <w:t xml:space="preserve"> </w:t>
      </w:r>
      <w:r w:rsidR="009D3C9D">
        <w:rPr>
          <w:color w:val="000000" w:themeColor="text1"/>
        </w:rPr>
        <w:t>for $35,000</w:t>
      </w:r>
      <w:r w:rsidR="009D3C9D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Marji</w:t>
      </w:r>
      <w:proofErr w:type="spellEnd"/>
      <w:r>
        <w:rPr>
          <w:color w:val="000000" w:themeColor="text1"/>
        </w:rPr>
        <w:t xml:space="preserve"> Ackerman and I did most of the application with help from some others.</w:t>
      </w:r>
      <w:r w:rsidR="00E95233">
        <w:rPr>
          <w:color w:val="000000" w:themeColor="text1"/>
        </w:rPr>
        <w:t xml:space="preserve">  Thank you!</w:t>
      </w:r>
      <w:r w:rsidR="00245707">
        <w:rPr>
          <w:color w:val="000000" w:themeColor="text1"/>
        </w:rPr>
        <w:t xml:space="preserve">  </w:t>
      </w:r>
    </w:p>
    <w:p w14:paraId="6ED9E539" w14:textId="77777777" w:rsidR="000B3922" w:rsidRDefault="000B3922" w:rsidP="009F2646">
      <w:pPr>
        <w:rPr>
          <w:color w:val="000000" w:themeColor="text1"/>
        </w:rPr>
      </w:pPr>
    </w:p>
    <w:p w14:paraId="63C4CC7F" w14:textId="440145B5" w:rsidR="000B3922" w:rsidRPr="00E95233" w:rsidRDefault="000B3922" w:rsidP="009F2646">
      <w:pPr>
        <w:rPr>
          <w:color w:val="000000" w:themeColor="text1"/>
        </w:rPr>
      </w:pPr>
      <w:r>
        <w:rPr>
          <w:color w:val="000000" w:themeColor="text1"/>
        </w:rPr>
        <w:t xml:space="preserve">The 2023 Audit by </w:t>
      </w:r>
      <w:proofErr w:type="spellStart"/>
      <w:r>
        <w:rPr>
          <w:color w:val="000000" w:themeColor="text1"/>
        </w:rPr>
        <w:t>Heveron</w:t>
      </w:r>
      <w:proofErr w:type="spellEnd"/>
      <w:r>
        <w:rPr>
          <w:color w:val="000000" w:themeColor="text1"/>
        </w:rPr>
        <w:t xml:space="preserve"> is underway.  Many thanks to Marjorie Case, Elena </w:t>
      </w:r>
      <w:proofErr w:type="spellStart"/>
      <w:r>
        <w:rPr>
          <w:color w:val="000000" w:themeColor="text1"/>
        </w:rPr>
        <w:t>Delhagen</w:t>
      </w:r>
      <w:proofErr w:type="spellEnd"/>
      <w:r>
        <w:rPr>
          <w:color w:val="000000" w:themeColor="text1"/>
        </w:rPr>
        <w:t xml:space="preserve">, Cheryl Battaglia, Alena Ragan, Bryan </w:t>
      </w:r>
      <w:proofErr w:type="spellStart"/>
      <w:r>
        <w:rPr>
          <w:color w:val="000000" w:themeColor="text1"/>
        </w:rPr>
        <w:t>Muecke</w:t>
      </w:r>
      <w:proofErr w:type="spellEnd"/>
      <w:r>
        <w:rPr>
          <w:color w:val="000000" w:themeColor="text1"/>
        </w:rPr>
        <w:t>, and others</w:t>
      </w:r>
      <w:r w:rsidR="00E95233">
        <w:rPr>
          <w:color w:val="000000" w:themeColor="text1"/>
        </w:rPr>
        <w:t xml:space="preserve">.  Thank you </w:t>
      </w:r>
      <w:r w:rsidR="00E95233">
        <w:rPr>
          <w:i/>
          <w:iCs/>
          <w:color w:val="000000" w:themeColor="text1"/>
        </w:rPr>
        <w:t>everybody!</w:t>
      </w:r>
    </w:p>
    <w:p w14:paraId="598BFCB0" w14:textId="77777777" w:rsidR="00031130" w:rsidRDefault="00031130" w:rsidP="009F2646">
      <w:pPr>
        <w:rPr>
          <w:color w:val="000000" w:themeColor="text1"/>
        </w:rPr>
      </w:pPr>
    </w:p>
    <w:p w14:paraId="1CC028A0" w14:textId="77777777" w:rsidR="009320B0" w:rsidRDefault="009320B0" w:rsidP="009F2646">
      <w:pPr>
        <w:rPr>
          <w:color w:val="000000" w:themeColor="text1"/>
        </w:rPr>
      </w:pPr>
    </w:p>
    <w:p w14:paraId="5CE66AB6" w14:textId="67F06A18" w:rsidR="00031130" w:rsidRDefault="009320B0" w:rsidP="009F2646">
      <w:pPr>
        <w:rPr>
          <w:color w:val="000000" w:themeColor="text1"/>
        </w:rPr>
      </w:pPr>
      <w:r>
        <w:rPr>
          <w:color w:val="000000" w:themeColor="text1"/>
        </w:rPr>
        <w:t>Per capita 2025 discussion:</w:t>
      </w:r>
    </w:p>
    <w:p w14:paraId="139C4623" w14:textId="77777777" w:rsidR="009320B0" w:rsidRDefault="009320B0" w:rsidP="009F2646">
      <w:pPr>
        <w:rPr>
          <w:color w:val="000000" w:themeColor="text1"/>
        </w:rPr>
      </w:pPr>
    </w:p>
    <w:p w14:paraId="24D293CC" w14:textId="63FF48D0" w:rsidR="00031130" w:rsidRDefault="00031130" w:rsidP="009D3C9D">
      <w:pPr>
        <w:rPr>
          <w:color w:val="000000" w:themeColor="text1"/>
        </w:rPr>
      </w:pPr>
      <w:r>
        <w:rPr>
          <w:color w:val="000000" w:themeColor="text1"/>
        </w:rPr>
        <w:t>This</w:t>
      </w:r>
      <w:r w:rsidR="000B3922">
        <w:rPr>
          <w:color w:val="000000" w:themeColor="text1"/>
        </w:rPr>
        <w:t xml:space="preserve"> is a table with per capita amounts from a spreadsheet of all presbyteries going back to about 2003.  </w:t>
      </w:r>
    </w:p>
    <w:p w14:paraId="2542AB81" w14:textId="77777777" w:rsidR="00031130" w:rsidRPr="00031130" w:rsidRDefault="00031130" w:rsidP="00031130">
      <w:pPr>
        <w:rPr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5"/>
        <w:gridCol w:w="1260"/>
        <w:gridCol w:w="900"/>
        <w:gridCol w:w="1260"/>
        <w:gridCol w:w="990"/>
      </w:tblGrid>
      <w:tr w:rsidR="00031130" w:rsidRPr="00031130" w14:paraId="5FF7C3A0" w14:textId="77777777" w:rsidTr="00FB5BC3">
        <w:tc>
          <w:tcPr>
            <w:tcW w:w="895" w:type="dxa"/>
          </w:tcPr>
          <w:p w14:paraId="09BA3C66" w14:textId="77777777" w:rsidR="00031130" w:rsidRPr="00031130" w:rsidRDefault="00031130" w:rsidP="00FB5BC3">
            <w:pPr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Year</w:t>
            </w:r>
          </w:p>
        </w:tc>
        <w:tc>
          <w:tcPr>
            <w:tcW w:w="1260" w:type="dxa"/>
          </w:tcPr>
          <w:p w14:paraId="48ABC1F0" w14:textId="77777777" w:rsidR="00031130" w:rsidRPr="00031130" w:rsidRDefault="00031130" w:rsidP="00FB5BC3">
            <w:pPr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Presbytery</w:t>
            </w:r>
          </w:p>
        </w:tc>
        <w:tc>
          <w:tcPr>
            <w:tcW w:w="900" w:type="dxa"/>
          </w:tcPr>
          <w:p w14:paraId="003BE677" w14:textId="77777777" w:rsidR="00031130" w:rsidRPr="00031130" w:rsidRDefault="00031130" w:rsidP="00FB5BC3">
            <w:pPr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Synod</w:t>
            </w:r>
          </w:p>
        </w:tc>
        <w:tc>
          <w:tcPr>
            <w:tcW w:w="1260" w:type="dxa"/>
          </w:tcPr>
          <w:p w14:paraId="15050148" w14:textId="77777777" w:rsidR="00031130" w:rsidRPr="00031130" w:rsidRDefault="00031130" w:rsidP="00FB5BC3">
            <w:pPr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General Assembly</w:t>
            </w:r>
          </w:p>
        </w:tc>
        <w:tc>
          <w:tcPr>
            <w:tcW w:w="990" w:type="dxa"/>
          </w:tcPr>
          <w:p w14:paraId="7C0ED469" w14:textId="77777777" w:rsidR="00031130" w:rsidRPr="00031130" w:rsidRDefault="00031130" w:rsidP="00FB5BC3">
            <w:pPr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Total</w:t>
            </w:r>
          </w:p>
        </w:tc>
      </w:tr>
      <w:tr w:rsidR="00031130" w:rsidRPr="00031130" w14:paraId="0C6F886D" w14:textId="77777777" w:rsidTr="00FB5BC3">
        <w:tc>
          <w:tcPr>
            <w:tcW w:w="895" w:type="dxa"/>
          </w:tcPr>
          <w:p w14:paraId="3F18AA5D" w14:textId="77777777" w:rsidR="00031130" w:rsidRPr="00031130" w:rsidRDefault="00031130" w:rsidP="00FB5BC3">
            <w:pPr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260" w:type="dxa"/>
          </w:tcPr>
          <w:p w14:paraId="304C9870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36.10</w:t>
            </w:r>
          </w:p>
        </w:tc>
        <w:tc>
          <w:tcPr>
            <w:tcW w:w="900" w:type="dxa"/>
          </w:tcPr>
          <w:p w14:paraId="0580D4B0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4.10</w:t>
            </w:r>
          </w:p>
        </w:tc>
        <w:tc>
          <w:tcPr>
            <w:tcW w:w="1260" w:type="dxa"/>
          </w:tcPr>
          <w:p w14:paraId="3A6C08CE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9.80</w:t>
            </w:r>
          </w:p>
        </w:tc>
        <w:tc>
          <w:tcPr>
            <w:tcW w:w="990" w:type="dxa"/>
          </w:tcPr>
          <w:p w14:paraId="5D9A8866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50.00</w:t>
            </w:r>
          </w:p>
        </w:tc>
      </w:tr>
      <w:tr w:rsidR="00031130" w:rsidRPr="00031130" w14:paraId="4ADDFA84" w14:textId="77777777" w:rsidTr="00FB5BC3">
        <w:tc>
          <w:tcPr>
            <w:tcW w:w="895" w:type="dxa"/>
          </w:tcPr>
          <w:p w14:paraId="2DD16922" w14:textId="77777777" w:rsidR="00031130" w:rsidRPr="00031130" w:rsidRDefault="00031130" w:rsidP="00FB5BC3">
            <w:pPr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1260" w:type="dxa"/>
          </w:tcPr>
          <w:p w14:paraId="55BB0548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36.92</w:t>
            </w:r>
          </w:p>
        </w:tc>
        <w:tc>
          <w:tcPr>
            <w:tcW w:w="900" w:type="dxa"/>
          </w:tcPr>
          <w:p w14:paraId="02C68363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4.10</w:t>
            </w:r>
          </w:p>
        </w:tc>
        <w:tc>
          <w:tcPr>
            <w:tcW w:w="1260" w:type="dxa"/>
          </w:tcPr>
          <w:p w14:paraId="14AB137B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8.98</w:t>
            </w:r>
          </w:p>
        </w:tc>
        <w:tc>
          <w:tcPr>
            <w:tcW w:w="990" w:type="dxa"/>
          </w:tcPr>
          <w:p w14:paraId="0217171A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50.00</w:t>
            </w:r>
          </w:p>
        </w:tc>
      </w:tr>
      <w:tr w:rsidR="00031130" w:rsidRPr="00031130" w14:paraId="4B9937ED" w14:textId="77777777" w:rsidTr="00FB5BC3">
        <w:tc>
          <w:tcPr>
            <w:tcW w:w="895" w:type="dxa"/>
          </w:tcPr>
          <w:p w14:paraId="40E06B07" w14:textId="77777777" w:rsidR="00031130" w:rsidRPr="00031130" w:rsidRDefault="00031130" w:rsidP="00FB5BC3">
            <w:pPr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1260" w:type="dxa"/>
          </w:tcPr>
          <w:p w14:paraId="7C76CA8C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36.92</w:t>
            </w:r>
          </w:p>
        </w:tc>
        <w:tc>
          <w:tcPr>
            <w:tcW w:w="900" w:type="dxa"/>
          </w:tcPr>
          <w:p w14:paraId="74456959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4.10</w:t>
            </w:r>
          </w:p>
        </w:tc>
        <w:tc>
          <w:tcPr>
            <w:tcW w:w="1260" w:type="dxa"/>
          </w:tcPr>
          <w:p w14:paraId="25E76B5A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8.98</w:t>
            </w:r>
          </w:p>
        </w:tc>
        <w:tc>
          <w:tcPr>
            <w:tcW w:w="990" w:type="dxa"/>
          </w:tcPr>
          <w:p w14:paraId="3A0E2474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50.00</w:t>
            </w:r>
          </w:p>
        </w:tc>
      </w:tr>
      <w:tr w:rsidR="00031130" w:rsidRPr="00031130" w14:paraId="5B29D62D" w14:textId="77777777" w:rsidTr="00FB5BC3">
        <w:tc>
          <w:tcPr>
            <w:tcW w:w="895" w:type="dxa"/>
          </w:tcPr>
          <w:p w14:paraId="50036B5E" w14:textId="77777777" w:rsidR="00031130" w:rsidRPr="00031130" w:rsidRDefault="00031130" w:rsidP="00FB5BC3">
            <w:pPr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260" w:type="dxa"/>
          </w:tcPr>
          <w:p w14:paraId="2E3AE10C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36.95</w:t>
            </w:r>
          </w:p>
        </w:tc>
        <w:tc>
          <w:tcPr>
            <w:tcW w:w="900" w:type="dxa"/>
          </w:tcPr>
          <w:p w14:paraId="23D8526B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4.10</w:t>
            </w:r>
          </w:p>
        </w:tc>
        <w:tc>
          <w:tcPr>
            <w:tcW w:w="1260" w:type="dxa"/>
          </w:tcPr>
          <w:p w14:paraId="3CDE8A2B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8.98</w:t>
            </w:r>
          </w:p>
        </w:tc>
        <w:tc>
          <w:tcPr>
            <w:tcW w:w="990" w:type="dxa"/>
          </w:tcPr>
          <w:p w14:paraId="40676F69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50.03</w:t>
            </w:r>
          </w:p>
        </w:tc>
      </w:tr>
      <w:tr w:rsidR="00031130" w:rsidRPr="00031130" w14:paraId="3C146BD9" w14:textId="77777777" w:rsidTr="00FB5BC3">
        <w:tc>
          <w:tcPr>
            <w:tcW w:w="895" w:type="dxa"/>
          </w:tcPr>
          <w:p w14:paraId="6F0A5DAD" w14:textId="77777777" w:rsidR="00031130" w:rsidRPr="00031130" w:rsidRDefault="00031130" w:rsidP="00FB5BC3">
            <w:pPr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260" w:type="dxa"/>
          </w:tcPr>
          <w:p w14:paraId="7BB8B42C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36.95</w:t>
            </w:r>
          </w:p>
        </w:tc>
        <w:tc>
          <w:tcPr>
            <w:tcW w:w="900" w:type="dxa"/>
          </w:tcPr>
          <w:p w14:paraId="77E505A0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4.10</w:t>
            </w:r>
          </w:p>
        </w:tc>
        <w:tc>
          <w:tcPr>
            <w:tcW w:w="1260" w:type="dxa"/>
          </w:tcPr>
          <w:p w14:paraId="2815BEE4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8.95</w:t>
            </w:r>
          </w:p>
        </w:tc>
        <w:tc>
          <w:tcPr>
            <w:tcW w:w="990" w:type="dxa"/>
          </w:tcPr>
          <w:p w14:paraId="6548FCBB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50.00</w:t>
            </w:r>
          </w:p>
        </w:tc>
      </w:tr>
      <w:tr w:rsidR="00031130" w:rsidRPr="00031130" w14:paraId="62552EBC" w14:textId="77777777" w:rsidTr="00FB5BC3">
        <w:tc>
          <w:tcPr>
            <w:tcW w:w="895" w:type="dxa"/>
          </w:tcPr>
          <w:p w14:paraId="767A3C78" w14:textId="77777777" w:rsidR="00031130" w:rsidRPr="00031130" w:rsidRDefault="00031130" w:rsidP="00FB5BC3">
            <w:pPr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260" w:type="dxa"/>
          </w:tcPr>
          <w:p w14:paraId="4A6EC33A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36.95</w:t>
            </w:r>
          </w:p>
        </w:tc>
        <w:tc>
          <w:tcPr>
            <w:tcW w:w="900" w:type="dxa"/>
          </w:tcPr>
          <w:p w14:paraId="164456AC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4.10</w:t>
            </w:r>
          </w:p>
        </w:tc>
        <w:tc>
          <w:tcPr>
            <w:tcW w:w="1260" w:type="dxa"/>
          </w:tcPr>
          <w:p w14:paraId="56BDCCB7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8.95</w:t>
            </w:r>
          </w:p>
        </w:tc>
        <w:tc>
          <w:tcPr>
            <w:tcW w:w="990" w:type="dxa"/>
          </w:tcPr>
          <w:p w14:paraId="4A636637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50.00</w:t>
            </w:r>
          </w:p>
        </w:tc>
      </w:tr>
      <w:tr w:rsidR="00031130" w:rsidRPr="00031130" w14:paraId="17E41607" w14:textId="77777777" w:rsidTr="00FB5BC3">
        <w:tc>
          <w:tcPr>
            <w:tcW w:w="895" w:type="dxa"/>
          </w:tcPr>
          <w:p w14:paraId="78EECB91" w14:textId="77777777" w:rsidR="00031130" w:rsidRPr="00031130" w:rsidRDefault="00031130" w:rsidP="00FB5BC3">
            <w:pPr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260" w:type="dxa"/>
          </w:tcPr>
          <w:p w14:paraId="7C0481BE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38.17</w:t>
            </w:r>
          </w:p>
        </w:tc>
        <w:tc>
          <w:tcPr>
            <w:tcW w:w="900" w:type="dxa"/>
          </w:tcPr>
          <w:p w14:paraId="53F250D4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4.10</w:t>
            </w:r>
          </w:p>
        </w:tc>
        <w:tc>
          <w:tcPr>
            <w:tcW w:w="1260" w:type="dxa"/>
          </w:tcPr>
          <w:p w14:paraId="1213CA22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7.73</w:t>
            </w:r>
          </w:p>
        </w:tc>
        <w:tc>
          <w:tcPr>
            <w:tcW w:w="990" w:type="dxa"/>
          </w:tcPr>
          <w:p w14:paraId="1C3E2A29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50.00</w:t>
            </w:r>
          </w:p>
        </w:tc>
      </w:tr>
      <w:tr w:rsidR="00031130" w:rsidRPr="00031130" w14:paraId="5B31226F" w14:textId="77777777" w:rsidTr="00FB5BC3">
        <w:tc>
          <w:tcPr>
            <w:tcW w:w="895" w:type="dxa"/>
          </w:tcPr>
          <w:p w14:paraId="242DC7B0" w14:textId="77777777" w:rsidR="00031130" w:rsidRPr="00031130" w:rsidRDefault="00031130" w:rsidP="00FB5BC3">
            <w:pPr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260" w:type="dxa"/>
          </w:tcPr>
          <w:p w14:paraId="0B5266CF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38.40</w:t>
            </w:r>
          </w:p>
        </w:tc>
        <w:tc>
          <w:tcPr>
            <w:tcW w:w="900" w:type="dxa"/>
          </w:tcPr>
          <w:p w14:paraId="733ECBB1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4.10</w:t>
            </w:r>
          </w:p>
        </w:tc>
        <w:tc>
          <w:tcPr>
            <w:tcW w:w="1260" w:type="dxa"/>
          </w:tcPr>
          <w:p w14:paraId="4B1943DB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7.50</w:t>
            </w:r>
          </w:p>
        </w:tc>
        <w:tc>
          <w:tcPr>
            <w:tcW w:w="990" w:type="dxa"/>
          </w:tcPr>
          <w:p w14:paraId="234CFA75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50.00</w:t>
            </w:r>
          </w:p>
        </w:tc>
      </w:tr>
      <w:tr w:rsidR="00031130" w:rsidRPr="00031130" w14:paraId="77813FEC" w14:textId="77777777" w:rsidTr="00FB5BC3">
        <w:tc>
          <w:tcPr>
            <w:tcW w:w="895" w:type="dxa"/>
          </w:tcPr>
          <w:p w14:paraId="0702E48E" w14:textId="77777777" w:rsidR="00031130" w:rsidRPr="00031130" w:rsidRDefault="00031130" w:rsidP="00FB5BC3">
            <w:pPr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60" w:type="dxa"/>
          </w:tcPr>
          <w:p w14:paraId="1506C21A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32.88</w:t>
            </w:r>
          </w:p>
        </w:tc>
        <w:tc>
          <w:tcPr>
            <w:tcW w:w="900" w:type="dxa"/>
          </w:tcPr>
          <w:p w14:paraId="3F5120DC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4.00</w:t>
            </w:r>
          </w:p>
        </w:tc>
        <w:tc>
          <w:tcPr>
            <w:tcW w:w="1260" w:type="dxa"/>
          </w:tcPr>
          <w:p w14:paraId="2666615A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7.12</w:t>
            </w:r>
          </w:p>
        </w:tc>
        <w:tc>
          <w:tcPr>
            <w:tcW w:w="990" w:type="dxa"/>
          </w:tcPr>
          <w:p w14:paraId="40B193D6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44.00</w:t>
            </w:r>
          </w:p>
        </w:tc>
      </w:tr>
      <w:tr w:rsidR="00031130" w:rsidRPr="00031130" w14:paraId="5D6819B4" w14:textId="77777777" w:rsidTr="00FB5BC3">
        <w:tc>
          <w:tcPr>
            <w:tcW w:w="895" w:type="dxa"/>
          </w:tcPr>
          <w:p w14:paraId="347E3001" w14:textId="77777777" w:rsidR="00031130" w:rsidRPr="00031130" w:rsidRDefault="00031130" w:rsidP="00FB5BC3">
            <w:pPr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260" w:type="dxa"/>
          </w:tcPr>
          <w:p w14:paraId="68046629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</w:tcPr>
          <w:p w14:paraId="0BD01DE5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4.00</w:t>
            </w:r>
          </w:p>
        </w:tc>
        <w:tc>
          <w:tcPr>
            <w:tcW w:w="1260" w:type="dxa"/>
          </w:tcPr>
          <w:p w14:paraId="4A179C5A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7.07</w:t>
            </w:r>
          </w:p>
        </w:tc>
        <w:tc>
          <w:tcPr>
            <w:tcW w:w="990" w:type="dxa"/>
          </w:tcPr>
          <w:p w14:paraId="06D61173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031130" w:rsidRPr="00031130" w14:paraId="0642658C" w14:textId="77777777" w:rsidTr="00FB5BC3">
        <w:tc>
          <w:tcPr>
            <w:tcW w:w="895" w:type="dxa"/>
          </w:tcPr>
          <w:p w14:paraId="7DAEFFAE" w14:textId="77777777" w:rsidR="00031130" w:rsidRPr="00031130" w:rsidRDefault="00031130" w:rsidP="00FB5BC3">
            <w:pPr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2014</w:t>
            </w:r>
          </w:p>
        </w:tc>
        <w:tc>
          <w:tcPr>
            <w:tcW w:w="1260" w:type="dxa"/>
          </w:tcPr>
          <w:p w14:paraId="3D93A8A0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</w:tcPr>
          <w:p w14:paraId="64B8EA0C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4F7CC17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</w:tcPr>
          <w:p w14:paraId="515D6040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031130" w:rsidRPr="00031130" w14:paraId="60438DA8" w14:textId="77777777" w:rsidTr="00FB5BC3">
        <w:tc>
          <w:tcPr>
            <w:tcW w:w="895" w:type="dxa"/>
          </w:tcPr>
          <w:p w14:paraId="3C3E6DB9" w14:textId="77777777" w:rsidR="00031130" w:rsidRPr="00031130" w:rsidRDefault="00031130" w:rsidP="00FB5BC3">
            <w:pPr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60" w:type="dxa"/>
          </w:tcPr>
          <w:p w14:paraId="42041F15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</w:tcPr>
          <w:p w14:paraId="33295068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2FE6F36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</w:tcPr>
          <w:p w14:paraId="05FD44C3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031130" w:rsidRPr="00031130" w14:paraId="1EF19A0F" w14:textId="77777777" w:rsidTr="00FB5BC3">
        <w:tc>
          <w:tcPr>
            <w:tcW w:w="895" w:type="dxa"/>
          </w:tcPr>
          <w:p w14:paraId="473B3AB2" w14:textId="0ECCFC0E" w:rsidR="00031130" w:rsidRPr="00031130" w:rsidRDefault="00031130" w:rsidP="00031130">
            <w:pPr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2012</w:t>
            </w:r>
          </w:p>
        </w:tc>
        <w:tc>
          <w:tcPr>
            <w:tcW w:w="1260" w:type="dxa"/>
          </w:tcPr>
          <w:p w14:paraId="45394CF2" w14:textId="0B7564C5" w:rsidR="00031130" w:rsidRPr="00031130" w:rsidRDefault="00031130" w:rsidP="0003113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32.42</w:t>
            </w:r>
          </w:p>
        </w:tc>
        <w:tc>
          <w:tcPr>
            <w:tcW w:w="900" w:type="dxa"/>
          </w:tcPr>
          <w:p w14:paraId="239599B3" w14:textId="31A79523" w:rsidR="00031130" w:rsidRPr="00031130" w:rsidRDefault="00031130" w:rsidP="0003113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3.95</w:t>
            </w:r>
          </w:p>
        </w:tc>
        <w:tc>
          <w:tcPr>
            <w:tcW w:w="1260" w:type="dxa"/>
          </w:tcPr>
          <w:p w14:paraId="60A46BB4" w14:textId="5DEC3C4C" w:rsidR="00031130" w:rsidRPr="00031130" w:rsidRDefault="00031130" w:rsidP="0003113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6.63</w:t>
            </w:r>
          </w:p>
        </w:tc>
        <w:tc>
          <w:tcPr>
            <w:tcW w:w="990" w:type="dxa"/>
          </w:tcPr>
          <w:p w14:paraId="7FB35C87" w14:textId="70ABD774" w:rsidR="00031130" w:rsidRPr="00031130" w:rsidRDefault="00031130" w:rsidP="0003113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43.00</w:t>
            </w:r>
          </w:p>
        </w:tc>
      </w:tr>
      <w:tr w:rsidR="00031130" w:rsidRPr="00031130" w14:paraId="4B2CB51F" w14:textId="77777777" w:rsidTr="00FB5BC3">
        <w:tc>
          <w:tcPr>
            <w:tcW w:w="895" w:type="dxa"/>
          </w:tcPr>
          <w:p w14:paraId="35B00465" w14:textId="77777777" w:rsidR="00031130" w:rsidRPr="00031130" w:rsidRDefault="00031130" w:rsidP="00FB5BC3">
            <w:pPr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2011</w:t>
            </w:r>
          </w:p>
        </w:tc>
        <w:tc>
          <w:tcPr>
            <w:tcW w:w="1260" w:type="dxa"/>
          </w:tcPr>
          <w:p w14:paraId="3CA57374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32.55</w:t>
            </w:r>
          </w:p>
        </w:tc>
        <w:tc>
          <w:tcPr>
            <w:tcW w:w="900" w:type="dxa"/>
          </w:tcPr>
          <w:p w14:paraId="324AFE09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3.95</w:t>
            </w:r>
          </w:p>
        </w:tc>
        <w:tc>
          <w:tcPr>
            <w:tcW w:w="1260" w:type="dxa"/>
          </w:tcPr>
          <w:p w14:paraId="02007165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6.50</w:t>
            </w:r>
          </w:p>
        </w:tc>
        <w:tc>
          <w:tcPr>
            <w:tcW w:w="990" w:type="dxa"/>
          </w:tcPr>
          <w:p w14:paraId="660AE62A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43.00</w:t>
            </w:r>
          </w:p>
        </w:tc>
      </w:tr>
      <w:tr w:rsidR="00031130" w:rsidRPr="00031130" w14:paraId="1A845623" w14:textId="77777777" w:rsidTr="00FB5BC3">
        <w:tc>
          <w:tcPr>
            <w:tcW w:w="895" w:type="dxa"/>
          </w:tcPr>
          <w:p w14:paraId="0D2D4B45" w14:textId="77777777" w:rsidR="00031130" w:rsidRPr="00031130" w:rsidRDefault="00031130" w:rsidP="00FB5BC3">
            <w:pPr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2010</w:t>
            </w:r>
          </w:p>
        </w:tc>
        <w:tc>
          <w:tcPr>
            <w:tcW w:w="1260" w:type="dxa"/>
          </w:tcPr>
          <w:p w14:paraId="1DAD43DA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33.20</w:t>
            </w:r>
          </w:p>
        </w:tc>
        <w:tc>
          <w:tcPr>
            <w:tcW w:w="900" w:type="dxa"/>
          </w:tcPr>
          <w:p w14:paraId="1B10B500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3.65</w:t>
            </w:r>
          </w:p>
        </w:tc>
        <w:tc>
          <w:tcPr>
            <w:tcW w:w="1260" w:type="dxa"/>
          </w:tcPr>
          <w:p w14:paraId="6AFC7A51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6.15</w:t>
            </w:r>
          </w:p>
        </w:tc>
        <w:tc>
          <w:tcPr>
            <w:tcW w:w="990" w:type="dxa"/>
          </w:tcPr>
          <w:p w14:paraId="72ED73E7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43.00</w:t>
            </w:r>
          </w:p>
        </w:tc>
      </w:tr>
      <w:tr w:rsidR="00031130" w:rsidRPr="00031130" w14:paraId="32353C5D" w14:textId="77777777" w:rsidTr="00FB5BC3">
        <w:tc>
          <w:tcPr>
            <w:tcW w:w="895" w:type="dxa"/>
          </w:tcPr>
          <w:p w14:paraId="61E941DF" w14:textId="77777777" w:rsidR="00031130" w:rsidRPr="00031130" w:rsidRDefault="00031130" w:rsidP="00FB5BC3">
            <w:pPr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2009</w:t>
            </w:r>
          </w:p>
        </w:tc>
        <w:tc>
          <w:tcPr>
            <w:tcW w:w="1260" w:type="dxa"/>
          </w:tcPr>
          <w:p w14:paraId="4C90FAF4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33.00</w:t>
            </w:r>
          </w:p>
        </w:tc>
        <w:tc>
          <w:tcPr>
            <w:tcW w:w="900" w:type="dxa"/>
          </w:tcPr>
          <w:p w14:paraId="70F82E8A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3.85</w:t>
            </w:r>
          </w:p>
        </w:tc>
        <w:tc>
          <w:tcPr>
            <w:tcW w:w="1260" w:type="dxa"/>
          </w:tcPr>
          <w:p w14:paraId="7C1E6468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6.15</w:t>
            </w:r>
          </w:p>
        </w:tc>
        <w:tc>
          <w:tcPr>
            <w:tcW w:w="990" w:type="dxa"/>
          </w:tcPr>
          <w:p w14:paraId="34FEE8C9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43.00</w:t>
            </w:r>
          </w:p>
        </w:tc>
      </w:tr>
      <w:tr w:rsidR="00031130" w:rsidRPr="00031130" w14:paraId="012AF456" w14:textId="77777777" w:rsidTr="00FB5BC3">
        <w:tc>
          <w:tcPr>
            <w:tcW w:w="895" w:type="dxa"/>
          </w:tcPr>
          <w:p w14:paraId="3F59915B" w14:textId="77777777" w:rsidR="00031130" w:rsidRPr="00031130" w:rsidRDefault="00031130" w:rsidP="00FB5BC3">
            <w:pPr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2008</w:t>
            </w:r>
          </w:p>
        </w:tc>
        <w:tc>
          <w:tcPr>
            <w:tcW w:w="1260" w:type="dxa"/>
          </w:tcPr>
          <w:p w14:paraId="6A2A142B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32.30</w:t>
            </w:r>
          </w:p>
        </w:tc>
        <w:tc>
          <w:tcPr>
            <w:tcW w:w="900" w:type="dxa"/>
          </w:tcPr>
          <w:p w14:paraId="6B5493BB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3.70</w:t>
            </w:r>
          </w:p>
        </w:tc>
        <w:tc>
          <w:tcPr>
            <w:tcW w:w="1260" w:type="dxa"/>
          </w:tcPr>
          <w:p w14:paraId="26B44C2B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5.79</w:t>
            </w:r>
          </w:p>
        </w:tc>
        <w:tc>
          <w:tcPr>
            <w:tcW w:w="990" w:type="dxa"/>
          </w:tcPr>
          <w:p w14:paraId="6DDAE25D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41.82</w:t>
            </w:r>
          </w:p>
        </w:tc>
      </w:tr>
      <w:tr w:rsidR="00031130" w:rsidRPr="00031130" w14:paraId="13C49457" w14:textId="77777777" w:rsidTr="00FB5BC3">
        <w:tc>
          <w:tcPr>
            <w:tcW w:w="895" w:type="dxa"/>
          </w:tcPr>
          <w:p w14:paraId="67EC45F4" w14:textId="77777777" w:rsidR="00031130" w:rsidRPr="00031130" w:rsidRDefault="00031130" w:rsidP="00FB5BC3">
            <w:pPr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1260" w:type="dxa"/>
          </w:tcPr>
          <w:p w14:paraId="6E44A31E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</w:tcPr>
          <w:p w14:paraId="5A329668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3.76</w:t>
            </w:r>
          </w:p>
        </w:tc>
        <w:tc>
          <w:tcPr>
            <w:tcW w:w="1260" w:type="dxa"/>
          </w:tcPr>
          <w:p w14:paraId="61C0EBD2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5.79</w:t>
            </w:r>
          </w:p>
        </w:tc>
        <w:tc>
          <w:tcPr>
            <w:tcW w:w="990" w:type="dxa"/>
          </w:tcPr>
          <w:p w14:paraId="4123C18A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031130" w:rsidRPr="00031130" w14:paraId="48BC227A" w14:textId="77777777" w:rsidTr="00FB5BC3">
        <w:tc>
          <w:tcPr>
            <w:tcW w:w="895" w:type="dxa"/>
          </w:tcPr>
          <w:p w14:paraId="777B92D6" w14:textId="77777777" w:rsidR="00031130" w:rsidRPr="00031130" w:rsidRDefault="00031130" w:rsidP="00FB5BC3">
            <w:pPr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2006</w:t>
            </w:r>
          </w:p>
        </w:tc>
        <w:tc>
          <w:tcPr>
            <w:tcW w:w="1260" w:type="dxa"/>
          </w:tcPr>
          <w:p w14:paraId="5ABD15A6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32.23</w:t>
            </w:r>
          </w:p>
        </w:tc>
        <w:tc>
          <w:tcPr>
            <w:tcW w:w="900" w:type="dxa"/>
          </w:tcPr>
          <w:p w14:paraId="22F46F87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3.70</w:t>
            </w:r>
          </w:p>
        </w:tc>
        <w:tc>
          <w:tcPr>
            <w:tcW w:w="1260" w:type="dxa"/>
          </w:tcPr>
          <w:p w14:paraId="166748F1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5.79</w:t>
            </w:r>
          </w:p>
        </w:tc>
        <w:tc>
          <w:tcPr>
            <w:tcW w:w="990" w:type="dxa"/>
          </w:tcPr>
          <w:p w14:paraId="1365F030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41.82</w:t>
            </w:r>
          </w:p>
        </w:tc>
      </w:tr>
      <w:tr w:rsidR="00031130" w:rsidRPr="00031130" w14:paraId="60B378F1" w14:textId="77777777" w:rsidTr="00FB5BC3">
        <w:tc>
          <w:tcPr>
            <w:tcW w:w="895" w:type="dxa"/>
          </w:tcPr>
          <w:p w14:paraId="74836F45" w14:textId="77777777" w:rsidR="00031130" w:rsidRPr="00031130" w:rsidRDefault="00031130" w:rsidP="00FB5BC3">
            <w:pPr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2005</w:t>
            </w:r>
          </w:p>
        </w:tc>
        <w:tc>
          <w:tcPr>
            <w:tcW w:w="1260" w:type="dxa"/>
          </w:tcPr>
          <w:p w14:paraId="715098CF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31.30</w:t>
            </w:r>
          </w:p>
        </w:tc>
        <w:tc>
          <w:tcPr>
            <w:tcW w:w="900" w:type="dxa"/>
          </w:tcPr>
          <w:p w14:paraId="3C0328DF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3.76</w:t>
            </w:r>
          </w:p>
        </w:tc>
        <w:tc>
          <w:tcPr>
            <w:tcW w:w="1260" w:type="dxa"/>
          </w:tcPr>
          <w:p w14:paraId="6043CD99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5.57</w:t>
            </w:r>
          </w:p>
        </w:tc>
        <w:tc>
          <w:tcPr>
            <w:tcW w:w="990" w:type="dxa"/>
          </w:tcPr>
          <w:p w14:paraId="24335793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40.61</w:t>
            </w:r>
          </w:p>
        </w:tc>
      </w:tr>
      <w:tr w:rsidR="00031130" w:rsidRPr="00031130" w14:paraId="3EF18381" w14:textId="77777777" w:rsidTr="00FB5BC3">
        <w:tc>
          <w:tcPr>
            <w:tcW w:w="895" w:type="dxa"/>
          </w:tcPr>
          <w:p w14:paraId="6033ADE2" w14:textId="77777777" w:rsidR="00031130" w:rsidRPr="00031130" w:rsidRDefault="00031130" w:rsidP="00FB5BC3">
            <w:pPr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2004</w:t>
            </w:r>
          </w:p>
        </w:tc>
        <w:tc>
          <w:tcPr>
            <w:tcW w:w="1260" w:type="dxa"/>
          </w:tcPr>
          <w:p w14:paraId="39A2AC5D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</w:tcPr>
          <w:p w14:paraId="30BB4FE4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CF4AB15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</w:tcPr>
          <w:p w14:paraId="71540284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031130" w:rsidRPr="00031130" w14:paraId="79CD03D6" w14:textId="77777777" w:rsidTr="00FB5BC3">
        <w:tc>
          <w:tcPr>
            <w:tcW w:w="895" w:type="dxa"/>
          </w:tcPr>
          <w:p w14:paraId="524EC7F3" w14:textId="77777777" w:rsidR="00031130" w:rsidRPr="00031130" w:rsidRDefault="00031130" w:rsidP="00FB5BC3">
            <w:pPr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2003</w:t>
            </w:r>
          </w:p>
        </w:tc>
        <w:tc>
          <w:tcPr>
            <w:tcW w:w="1260" w:type="dxa"/>
          </w:tcPr>
          <w:p w14:paraId="3359982F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28.28</w:t>
            </w:r>
          </w:p>
        </w:tc>
        <w:tc>
          <w:tcPr>
            <w:tcW w:w="900" w:type="dxa"/>
          </w:tcPr>
          <w:p w14:paraId="0F3013ED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3.70</w:t>
            </w:r>
          </w:p>
        </w:tc>
        <w:tc>
          <w:tcPr>
            <w:tcW w:w="1260" w:type="dxa"/>
          </w:tcPr>
          <w:p w14:paraId="42791E33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5.44</w:t>
            </w:r>
          </w:p>
        </w:tc>
        <w:tc>
          <w:tcPr>
            <w:tcW w:w="990" w:type="dxa"/>
          </w:tcPr>
          <w:p w14:paraId="3B885FB9" w14:textId="77777777" w:rsidR="00031130" w:rsidRPr="00031130" w:rsidRDefault="00031130" w:rsidP="00FB5BC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31130">
              <w:rPr>
                <w:color w:val="000000" w:themeColor="text1"/>
                <w:sz w:val="22"/>
                <w:szCs w:val="22"/>
              </w:rPr>
              <w:t>37.42</w:t>
            </w:r>
          </w:p>
        </w:tc>
      </w:tr>
    </w:tbl>
    <w:p w14:paraId="412D4AA4" w14:textId="77777777" w:rsidR="00031130" w:rsidRPr="00031130" w:rsidRDefault="00031130" w:rsidP="009D3C9D">
      <w:pPr>
        <w:rPr>
          <w:color w:val="000000" w:themeColor="text1"/>
          <w:sz w:val="22"/>
          <w:szCs w:val="22"/>
        </w:rPr>
      </w:pPr>
    </w:p>
    <w:p w14:paraId="6869844D" w14:textId="12F3CB20" w:rsidR="009D3C9D" w:rsidRDefault="000B3922" w:rsidP="009D3C9D">
      <w:pPr>
        <w:rPr>
          <w:color w:val="000000" w:themeColor="text1"/>
        </w:rPr>
      </w:pPr>
      <w:r>
        <w:rPr>
          <w:color w:val="000000" w:themeColor="text1"/>
        </w:rPr>
        <w:t>(</w:t>
      </w:r>
      <w:proofErr w:type="gramStart"/>
      <w:r>
        <w:rPr>
          <w:color w:val="000000" w:themeColor="text1"/>
        </w:rPr>
        <w:t>cursory</w:t>
      </w:r>
      <w:proofErr w:type="gramEnd"/>
      <w:r>
        <w:rPr>
          <w:color w:val="000000" w:themeColor="text1"/>
        </w:rPr>
        <w:t xml:space="preserve"> </w:t>
      </w:r>
      <w:r w:rsidR="009D3C9D">
        <w:rPr>
          <w:color w:val="000000" w:themeColor="text1"/>
        </w:rPr>
        <w:t>review</w:t>
      </w:r>
      <w:r w:rsidR="00317FDC">
        <w:rPr>
          <w:color w:val="000000" w:themeColor="text1"/>
        </w:rPr>
        <w:t xml:space="preserve"> </w:t>
      </w:r>
      <w:r w:rsidR="00031130">
        <w:rPr>
          <w:color w:val="000000" w:themeColor="text1"/>
        </w:rPr>
        <w:t xml:space="preserve">pf all presbyteries </w:t>
      </w:r>
      <w:r w:rsidR="00317FDC">
        <w:rPr>
          <w:color w:val="000000" w:themeColor="text1"/>
        </w:rPr>
        <w:t xml:space="preserve">shows 2022 totals run from around $25-26 </w:t>
      </w:r>
      <w:r w:rsidR="00E423C6">
        <w:rPr>
          <w:color w:val="000000" w:themeColor="text1"/>
        </w:rPr>
        <w:t xml:space="preserve">up </w:t>
      </w:r>
      <w:r w:rsidR="00317FDC">
        <w:rPr>
          <w:color w:val="000000" w:themeColor="text1"/>
        </w:rPr>
        <w:t xml:space="preserve">to $74 for San Gabriel, the bulk around $45-49, some </w:t>
      </w:r>
      <w:r w:rsidR="00E423C6">
        <w:rPr>
          <w:color w:val="000000" w:themeColor="text1"/>
        </w:rPr>
        <w:t xml:space="preserve">cluster </w:t>
      </w:r>
      <w:r w:rsidR="00317FDC">
        <w:rPr>
          <w:color w:val="000000" w:themeColor="text1"/>
        </w:rPr>
        <w:t>around $60.)  Our data has holes 2013-201</w:t>
      </w:r>
      <w:r w:rsidR="00E95233">
        <w:rPr>
          <w:color w:val="000000" w:themeColor="text1"/>
        </w:rPr>
        <w:t>5</w:t>
      </w:r>
      <w:r w:rsidR="00317FDC">
        <w:rPr>
          <w:color w:val="000000" w:themeColor="text1"/>
        </w:rPr>
        <w:t>, but even so some things stand out.  The Synod holds their per capita for years at a time (which given their investments is hardly a surprise).  GA holds for a while</w:t>
      </w:r>
      <w:r w:rsidR="00E95233">
        <w:rPr>
          <w:color w:val="000000" w:themeColor="text1"/>
        </w:rPr>
        <w:t>,</w:t>
      </w:r>
      <w:r w:rsidR="00317FDC">
        <w:rPr>
          <w:color w:val="000000" w:themeColor="text1"/>
        </w:rPr>
        <w:t xml:space="preserve"> then jumps</w:t>
      </w:r>
      <w:r w:rsidR="00E95233">
        <w:rPr>
          <w:color w:val="000000" w:themeColor="text1"/>
        </w:rPr>
        <w:t>,</w:t>
      </w:r>
      <w:r w:rsidR="00317FDC">
        <w:rPr>
          <w:color w:val="000000" w:themeColor="text1"/>
        </w:rPr>
        <w:t xml:space="preserve"> then holds at that level for a while.  </w:t>
      </w:r>
      <w:r w:rsidR="00E95233">
        <w:rPr>
          <w:color w:val="000000" w:themeColor="text1"/>
        </w:rPr>
        <w:t xml:space="preserve">We jumped between 2016 and 2017 to $50 </w:t>
      </w:r>
      <w:proofErr w:type="gramStart"/>
      <w:r w:rsidR="00E95233">
        <w:rPr>
          <w:color w:val="000000" w:themeColor="text1"/>
        </w:rPr>
        <w:t>overall, and</w:t>
      </w:r>
      <w:proofErr w:type="gramEnd"/>
      <w:r w:rsidR="00E95233">
        <w:rPr>
          <w:color w:val="000000" w:themeColor="text1"/>
        </w:rPr>
        <w:t xml:space="preserve"> have stayed there as GA has increased.  </w:t>
      </w:r>
      <w:r w:rsidR="00317FDC">
        <w:rPr>
          <w:color w:val="000000" w:themeColor="text1"/>
        </w:rPr>
        <w:t xml:space="preserve">Since 2017 we </w:t>
      </w:r>
      <w:r w:rsidR="00317FDC">
        <w:rPr>
          <w:color w:val="000000" w:themeColor="text1"/>
        </w:rPr>
        <w:lastRenderedPageBreak/>
        <w:t>“lost” $2.30</w:t>
      </w:r>
      <w:r w:rsidR="003563D8">
        <w:rPr>
          <w:color w:val="000000" w:themeColor="text1"/>
        </w:rPr>
        <w:t xml:space="preserve"> </w:t>
      </w:r>
      <w:r w:rsidR="00E95233">
        <w:rPr>
          <w:color w:val="000000" w:themeColor="text1"/>
        </w:rPr>
        <w:t xml:space="preserve">per member </w:t>
      </w:r>
      <w:r w:rsidR="003563D8">
        <w:rPr>
          <w:color w:val="000000" w:themeColor="text1"/>
        </w:rPr>
        <w:t>by holding the total at $50</w:t>
      </w:r>
      <w:r w:rsidR="003563D8" w:rsidRPr="009D3C9D">
        <w:rPr>
          <w:color w:val="000000" w:themeColor="text1"/>
        </w:rPr>
        <w:t xml:space="preserve">.  </w:t>
      </w:r>
      <w:r w:rsidR="009320B0">
        <w:rPr>
          <w:color w:val="000000" w:themeColor="text1"/>
        </w:rPr>
        <w:t>For comparison</w:t>
      </w:r>
      <w:r w:rsidR="009D3C9D">
        <w:rPr>
          <w:color w:val="000000" w:themeColor="text1"/>
        </w:rPr>
        <w:t>, c</w:t>
      </w:r>
      <w:r w:rsidR="009D3C9D" w:rsidRPr="009D3C9D">
        <w:rPr>
          <w:color w:val="000000" w:themeColor="text1"/>
        </w:rPr>
        <w:t xml:space="preserve">ompound inflation </w:t>
      </w:r>
      <w:r w:rsidR="009D3C9D">
        <w:rPr>
          <w:color w:val="000000" w:themeColor="text1"/>
        </w:rPr>
        <w:t xml:space="preserve">from </w:t>
      </w:r>
      <w:r w:rsidR="009D3C9D" w:rsidRPr="009D3C9D">
        <w:rPr>
          <w:color w:val="000000" w:themeColor="text1"/>
        </w:rPr>
        <w:t xml:space="preserve">2017 to 2024 </w:t>
      </w:r>
      <w:r w:rsidR="009D3C9D">
        <w:rPr>
          <w:color w:val="000000" w:themeColor="text1"/>
        </w:rPr>
        <w:t xml:space="preserve">is </w:t>
      </w:r>
      <w:r w:rsidR="009D3C9D" w:rsidRPr="009D3C9D">
        <w:rPr>
          <w:color w:val="000000" w:themeColor="text1"/>
        </w:rPr>
        <w:t>28.8%</w:t>
      </w:r>
      <w:r w:rsidR="009D3C9D">
        <w:rPr>
          <w:color w:val="000000" w:themeColor="text1"/>
        </w:rPr>
        <w:t>, further eroding our ability to serve congregations.</w:t>
      </w:r>
    </w:p>
    <w:p w14:paraId="369B15D2" w14:textId="77777777" w:rsidR="009D3C9D" w:rsidRDefault="009D3C9D" w:rsidP="009D3C9D">
      <w:pPr>
        <w:rPr>
          <w:color w:val="000000" w:themeColor="text1"/>
        </w:rPr>
      </w:pPr>
    </w:p>
    <w:p w14:paraId="7FD9F8E8" w14:textId="588807E3" w:rsidR="00ED3CA8" w:rsidRDefault="003563D8" w:rsidP="009F2646">
      <w:pPr>
        <w:rPr>
          <w:color w:val="000000" w:themeColor="text1"/>
        </w:rPr>
      </w:pPr>
      <w:r>
        <w:rPr>
          <w:color w:val="000000" w:themeColor="text1"/>
        </w:rPr>
        <w:t>The more significant loss comes from the decline in presbytery membership</w:t>
      </w:r>
      <w:r w:rsidR="007F6A71">
        <w:rPr>
          <w:color w:val="000000" w:themeColor="text1"/>
        </w:rPr>
        <w:t xml:space="preserve"> (currently 3</w:t>
      </w:r>
      <w:r w:rsidR="006D7B7C">
        <w:rPr>
          <w:color w:val="000000" w:themeColor="text1"/>
        </w:rPr>
        <w:t>4</w:t>
      </w:r>
      <w:r w:rsidR="007F6A71">
        <w:rPr>
          <w:color w:val="000000" w:themeColor="text1"/>
        </w:rPr>
        <w:t>80</w:t>
      </w:r>
      <w:r w:rsidR="006D7B7C">
        <w:rPr>
          <w:color w:val="000000" w:themeColor="text1"/>
        </w:rPr>
        <w:t>)</w:t>
      </w:r>
      <w:r>
        <w:rPr>
          <w:color w:val="000000" w:themeColor="text1"/>
        </w:rPr>
        <w:t>, but we haven’t kept up</w:t>
      </w:r>
      <w:r w:rsidR="00031130">
        <w:rPr>
          <w:color w:val="000000" w:themeColor="text1"/>
        </w:rPr>
        <w:t xml:space="preserve"> to maintain constant income</w:t>
      </w:r>
      <w:r w:rsidR="005A4FF6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in an effort to</w:t>
      </w:r>
      <w:proofErr w:type="gramEnd"/>
      <w:r>
        <w:rPr>
          <w:color w:val="000000" w:themeColor="text1"/>
        </w:rPr>
        <w:t xml:space="preserve"> be gentle on our </w:t>
      </w:r>
      <w:r w:rsidR="009D3C9D">
        <w:rPr>
          <w:color w:val="000000" w:themeColor="text1"/>
        </w:rPr>
        <w:t xml:space="preserve">already stressed </w:t>
      </w:r>
      <w:r>
        <w:rPr>
          <w:color w:val="000000" w:themeColor="text1"/>
        </w:rPr>
        <w:t xml:space="preserve">congregations.  </w:t>
      </w:r>
      <w:r w:rsidR="009D3C9D">
        <w:rPr>
          <w:color w:val="000000" w:themeColor="text1"/>
        </w:rPr>
        <w:t>For</w:t>
      </w:r>
      <w:r w:rsidR="00245707">
        <w:rPr>
          <w:color w:val="000000" w:themeColor="text1"/>
        </w:rPr>
        <w:t xml:space="preserve"> 2025</w:t>
      </w:r>
      <w:r w:rsidR="00431AF5">
        <w:rPr>
          <w:color w:val="000000" w:themeColor="text1"/>
        </w:rPr>
        <w:t>, all else remaining the same,</w:t>
      </w:r>
      <w:r w:rsidR="00C57940">
        <w:rPr>
          <w:color w:val="000000" w:themeColor="text1"/>
        </w:rPr>
        <w:t xml:space="preserve"> to “break even” in 2025 we would need $</w:t>
      </w:r>
      <w:r w:rsidR="00C57940" w:rsidRPr="00C57940">
        <w:rPr>
          <w:color w:val="000000" w:themeColor="text1"/>
        </w:rPr>
        <w:t>60.34</w:t>
      </w:r>
      <w:r w:rsidR="00C57940">
        <w:rPr>
          <w:color w:val="000000" w:themeColor="text1"/>
        </w:rPr>
        <w:t xml:space="preserve"> </w:t>
      </w:r>
      <w:r w:rsidR="00431AF5" w:rsidRPr="00E95233">
        <w:rPr>
          <w:i/>
          <w:iCs/>
          <w:color w:val="000000" w:themeColor="text1"/>
        </w:rPr>
        <w:t>presbytery</w:t>
      </w:r>
      <w:r w:rsidR="00C57940">
        <w:rPr>
          <w:color w:val="000000" w:themeColor="text1"/>
        </w:rPr>
        <w:t xml:space="preserve"> per capita</w:t>
      </w:r>
      <w:r w:rsidR="00E95233">
        <w:rPr>
          <w:color w:val="000000" w:themeColor="text1"/>
        </w:rPr>
        <w:t xml:space="preserve"> (overall $74.24)</w:t>
      </w:r>
      <w:r w:rsidR="00C57940">
        <w:rPr>
          <w:color w:val="000000" w:themeColor="text1"/>
        </w:rPr>
        <w:t xml:space="preserve">.  </w:t>
      </w:r>
      <w:r w:rsidR="009D3C9D">
        <w:rPr>
          <w:color w:val="000000" w:themeColor="text1"/>
        </w:rPr>
        <w:t>2023’s</w:t>
      </w:r>
      <w:r w:rsidR="00E95233">
        <w:rPr>
          <w:color w:val="000000" w:themeColor="text1"/>
        </w:rPr>
        <w:t xml:space="preserve"> significant accounts receivable gap is a considerable blow</w:t>
      </w:r>
      <w:r w:rsidR="00E423C6">
        <w:rPr>
          <w:color w:val="000000" w:themeColor="text1"/>
        </w:rPr>
        <w:t xml:space="preserve"> and suggests that several congregations are already tap</w:t>
      </w:r>
      <w:r w:rsidR="00245707">
        <w:rPr>
          <w:color w:val="000000" w:themeColor="text1"/>
        </w:rPr>
        <w:t>p</w:t>
      </w:r>
      <w:r w:rsidR="00E423C6">
        <w:rPr>
          <w:color w:val="000000" w:themeColor="text1"/>
        </w:rPr>
        <w:t>ed out</w:t>
      </w:r>
      <w:r w:rsidR="00E95233">
        <w:rPr>
          <w:color w:val="000000" w:themeColor="text1"/>
        </w:rPr>
        <w:t xml:space="preserve">.  </w:t>
      </w:r>
      <w:r w:rsidR="00431AF5">
        <w:rPr>
          <w:color w:val="000000" w:themeColor="text1"/>
        </w:rPr>
        <w:t xml:space="preserve">Emphasizing Camp Whitman as a main mission focus, </w:t>
      </w:r>
      <w:r w:rsidR="006D7B7C">
        <w:rPr>
          <w:color w:val="000000" w:themeColor="text1"/>
        </w:rPr>
        <w:t>seeking</w:t>
      </w:r>
      <w:r w:rsidR="00431AF5">
        <w:rPr>
          <w:color w:val="000000" w:themeColor="text1"/>
        </w:rPr>
        <w:t xml:space="preserve"> grants, </w:t>
      </w:r>
      <w:r w:rsidR="006D7B7C">
        <w:rPr>
          <w:color w:val="000000" w:themeColor="text1"/>
        </w:rPr>
        <w:t xml:space="preserve">increasing presbytery per capita, </w:t>
      </w:r>
      <w:r w:rsidR="00B1252C">
        <w:rPr>
          <w:color w:val="000000" w:themeColor="text1"/>
        </w:rPr>
        <w:t xml:space="preserve">reviewing investments, </w:t>
      </w:r>
      <w:r w:rsidR="00431AF5">
        <w:rPr>
          <w:color w:val="000000" w:themeColor="text1"/>
        </w:rPr>
        <w:t>and exploring options across presbyteries would obviously be part</w:t>
      </w:r>
      <w:r w:rsidR="00B1252C">
        <w:rPr>
          <w:color w:val="000000" w:themeColor="text1"/>
        </w:rPr>
        <w:t>s</w:t>
      </w:r>
      <w:r w:rsidR="00431AF5">
        <w:rPr>
          <w:color w:val="000000" w:themeColor="text1"/>
        </w:rPr>
        <w:t xml:space="preserve"> of a diversified strategy for our financial health.</w:t>
      </w:r>
    </w:p>
    <w:p w14:paraId="5B95285E" w14:textId="77777777" w:rsidR="009320B0" w:rsidRDefault="009320B0" w:rsidP="009F2646">
      <w:pPr>
        <w:rPr>
          <w:color w:val="000000" w:themeColor="text1"/>
        </w:rPr>
      </w:pPr>
    </w:p>
    <w:p w14:paraId="0E8FCE38" w14:textId="312E886E" w:rsidR="009320B0" w:rsidRDefault="009320B0" w:rsidP="009F2646">
      <w:pPr>
        <w:rPr>
          <w:color w:val="000000" w:themeColor="text1"/>
        </w:rPr>
      </w:pPr>
      <w:r>
        <w:rPr>
          <w:color w:val="000000" w:themeColor="text1"/>
        </w:rPr>
        <w:t>Well before the annual budget season, this is an important conversation for how the Presbytery of Geneva continues to support our congregations as they are Christ in the Finger Lakes.</w:t>
      </w:r>
    </w:p>
    <w:p w14:paraId="54058077" w14:textId="77777777" w:rsidR="009320B0" w:rsidRDefault="009320B0" w:rsidP="009F2646">
      <w:pPr>
        <w:rPr>
          <w:color w:val="000000" w:themeColor="text1"/>
        </w:rPr>
      </w:pPr>
    </w:p>
    <w:p w14:paraId="0DC20FA1" w14:textId="77777777" w:rsidR="00317FDC" w:rsidRDefault="00317FDC" w:rsidP="009F2646">
      <w:pPr>
        <w:rPr>
          <w:color w:val="000000" w:themeColor="text1"/>
        </w:rPr>
      </w:pPr>
    </w:p>
    <w:p w14:paraId="5E3DE839" w14:textId="0CFEAFB7" w:rsidR="000B3922" w:rsidRDefault="005A4FF6" w:rsidP="009F2646">
      <w:pPr>
        <w:rPr>
          <w:color w:val="000000" w:themeColor="text1"/>
        </w:rPr>
      </w:pPr>
      <w:r>
        <w:rPr>
          <w:color w:val="000000" w:themeColor="text1"/>
        </w:rPr>
        <w:t>As always, have at me with questions!</w:t>
      </w:r>
    </w:p>
    <w:p w14:paraId="555393B3" w14:textId="77777777" w:rsidR="005A4FF6" w:rsidRDefault="005A4FF6" w:rsidP="009F2646">
      <w:pPr>
        <w:rPr>
          <w:color w:val="000000" w:themeColor="text1"/>
        </w:rPr>
      </w:pPr>
    </w:p>
    <w:p w14:paraId="3A78E681" w14:textId="1C912D17" w:rsidR="005A4FF6" w:rsidRDefault="009D3C9D" w:rsidP="009F2646">
      <w:pPr>
        <w:rPr>
          <w:color w:val="000000" w:themeColor="text1"/>
        </w:rPr>
      </w:pPr>
      <w:r>
        <w:rPr>
          <w:color w:val="000000" w:themeColor="text1"/>
        </w:rPr>
        <w:t xml:space="preserve">W. </w:t>
      </w:r>
      <w:r w:rsidR="005A4FF6">
        <w:rPr>
          <w:color w:val="000000" w:themeColor="text1"/>
        </w:rPr>
        <w:t>David</w:t>
      </w:r>
      <w:r>
        <w:rPr>
          <w:color w:val="000000" w:themeColor="text1"/>
        </w:rPr>
        <w:t xml:space="preserve"> Ashby, Presbytery Treasurer</w:t>
      </w:r>
    </w:p>
    <w:p w14:paraId="6C7F478D" w14:textId="77777777" w:rsidR="000B3922" w:rsidRPr="009C1394" w:rsidRDefault="000B3922" w:rsidP="009F2646">
      <w:pPr>
        <w:rPr>
          <w:color w:val="000000" w:themeColor="text1"/>
        </w:rPr>
      </w:pPr>
    </w:p>
    <w:sectPr w:rsidR="000B3922" w:rsidRPr="009C1394" w:rsidSect="007D247F">
      <w:footerReference w:type="default" r:id="rId6"/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1B5E9" w14:textId="77777777" w:rsidR="00D64364" w:rsidRDefault="00D64364" w:rsidP="00E423C6">
      <w:r>
        <w:separator/>
      </w:r>
    </w:p>
  </w:endnote>
  <w:endnote w:type="continuationSeparator" w:id="0">
    <w:p w14:paraId="588183EE" w14:textId="77777777" w:rsidR="00D64364" w:rsidRDefault="00D64364" w:rsidP="00E42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50156" w14:textId="4F6154CE" w:rsidR="00E423C6" w:rsidRDefault="00031130">
    <w:pPr>
      <w:pStyle w:val="Footer"/>
    </w:pPr>
    <w:r>
      <w:t>Treasurer’s</w:t>
    </w:r>
    <w:r w:rsidR="00E423C6">
      <w:t xml:space="preserve"> report 05-</w:t>
    </w:r>
    <w:r>
      <w:t>21</w:t>
    </w:r>
    <w:r w:rsidR="00E423C6">
      <w:t>-2</w:t>
    </w:r>
    <w:r>
      <w:t>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607F0" w14:textId="77777777" w:rsidR="00D64364" w:rsidRDefault="00D64364" w:rsidP="00E423C6">
      <w:r>
        <w:separator/>
      </w:r>
    </w:p>
  </w:footnote>
  <w:footnote w:type="continuationSeparator" w:id="0">
    <w:p w14:paraId="441CE382" w14:textId="77777777" w:rsidR="00D64364" w:rsidRDefault="00D64364" w:rsidP="00E42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9C"/>
    <w:rsid w:val="00001CCE"/>
    <w:rsid w:val="00031130"/>
    <w:rsid w:val="000709B6"/>
    <w:rsid w:val="000B3922"/>
    <w:rsid w:val="001A539C"/>
    <w:rsid w:val="00232427"/>
    <w:rsid w:val="00245707"/>
    <w:rsid w:val="00274775"/>
    <w:rsid w:val="002A4D8E"/>
    <w:rsid w:val="002B7252"/>
    <w:rsid w:val="00317FDC"/>
    <w:rsid w:val="003563D8"/>
    <w:rsid w:val="003E0185"/>
    <w:rsid w:val="00431AF5"/>
    <w:rsid w:val="00440D60"/>
    <w:rsid w:val="00460DA4"/>
    <w:rsid w:val="004E24B9"/>
    <w:rsid w:val="004F39BC"/>
    <w:rsid w:val="00530CF4"/>
    <w:rsid w:val="00576716"/>
    <w:rsid w:val="005A4FF6"/>
    <w:rsid w:val="005D432E"/>
    <w:rsid w:val="00615BBC"/>
    <w:rsid w:val="0063140A"/>
    <w:rsid w:val="006606AD"/>
    <w:rsid w:val="006D7B7C"/>
    <w:rsid w:val="007D247F"/>
    <w:rsid w:val="007F6A71"/>
    <w:rsid w:val="0084219B"/>
    <w:rsid w:val="00901FC9"/>
    <w:rsid w:val="009320B0"/>
    <w:rsid w:val="009C1394"/>
    <w:rsid w:val="009D3C9D"/>
    <w:rsid w:val="009F2646"/>
    <w:rsid w:val="00AA51A5"/>
    <w:rsid w:val="00AE379F"/>
    <w:rsid w:val="00B1252C"/>
    <w:rsid w:val="00B8272D"/>
    <w:rsid w:val="00C03C2F"/>
    <w:rsid w:val="00C0612F"/>
    <w:rsid w:val="00C558F7"/>
    <w:rsid w:val="00C57940"/>
    <w:rsid w:val="00C77D21"/>
    <w:rsid w:val="00D179E1"/>
    <w:rsid w:val="00D64364"/>
    <w:rsid w:val="00DB1CFD"/>
    <w:rsid w:val="00E423C6"/>
    <w:rsid w:val="00E95233"/>
    <w:rsid w:val="00E96B51"/>
    <w:rsid w:val="00EC6963"/>
    <w:rsid w:val="00ED3CA8"/>
    <w:rsid w:val="00EE4E16"/>
    <w:rsid w:val="00F2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EB70D0"/>
  <w15:chartTrackingRefBased/>
  <w15:docId w15:val="{C5908BD2-06D3-8142-8429-2AA97E4D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2646"/>
    <w:rPr>
      <w:rFonts w:ascii="Times New Roman" w:hAnsi="Times New Roman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53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53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539C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539C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539C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539C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539C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539C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539C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3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53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53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539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539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539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539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539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539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A539C"/>
    <w:pPr>
      <w:spacing w:after="8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53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539C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A53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A539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A539C"/>
    <w:rPr>
      <w:rFonts w:ascii="Times New Roman" w:hAnsi="Times New Roman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A539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A539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53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539C"/>
    <w:rPr>
      <w:rFonts w:ascii="Times New Roman" w:hAnsi="Times New Roman"/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A539C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E423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3C6"/>
    <w:rPr>
      <w:rFonts w:ascii="Times New Roman" w:hAnsi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42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3C6"/>
    <w:rPr>
      <w:rFonts w:ascii="Times New Roman" w:hAnsi="Times New Roman"/>
      <w:color w:val="000000"/>
    </w:rPr>
  </w:style>
  <w:style w:type="table" w:styleId="TableGrid">
    <w:name w:val="Table Grid"/>
    <w:basedOn w:val="TableNormal"/>
    <w:uiPriority w:val="39"/>
    <w:rsid w:val="0003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0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8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778052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3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89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52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22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0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916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104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162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Ashby</dc:creator>
  <cp:keywords/>
  <dc:description/>
  <cp:lastModifiedBy>David Ashby</cp:lastModifiedBy>
  <cp:revision>6</cp:revision>
  <dcterms:created xsi:type="dcterms:W3CDTF">2024-05-14T18:34:00Z</dcterms:created>
  <dcterms:modified xsi:type="dcterms:W3CDTF">2024-05-14T20:41:00Z</dcterms:modified>
</cp:coreProperties>
</file>